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7" w:rsidRPr="006044DB" w:rsidRDefault="006044DB" w:rsidP="00604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>Органное творчество Баха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>Орган – любимый инструмент Баха, постоянный спутник его жизни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С ранних лет Бах ощущал своим призванием органное поприще, неустанно учился искусству органной импровизации, явившейся основой его композиторского мастерства.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 xml:space="preserve">Еще ребенком, в родном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он слушал игру на органе своего дяди, а затем, в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Ордруфе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– брата.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Арнштадте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Бах сам начинает работать органистом,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несомненно, уже там пробует сочинять для органа, хотя его хоральные обработки, смущавшие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арнштадтских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прихожан своей необычностью, и не дошли до нас. В должности органиста композитор служил и в Веймаре, где полностью сформировался его самобытный органный стиль. Как известно, именно на Веймарские годы приходится исключительная активность в области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баховского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органного творчества – создано большинство органных сочинений: Токката и фуга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d-moll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Токката,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и фуга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Прелюдия и фуга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Фантазия и фуга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g-moll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Пассакалия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c-moll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и многие другие. Даже когда в силу обстоятельств композитор переключался на другую работу, он не расставался с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портативом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– переносным органом. Не нужно забывать и то, что в сопровождении органа звучали в церкви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баховские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оратории, кантаты,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пассионы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. Именно через орган Бах был известен своим современникам. В органных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импрорвизациях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он достиг высшего совершенства, потрясая всех, кто мог его слышать. Прославленный органист Ян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Рейнкен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, уже на склоне лет, услышав игру Баха, произнес: «Я думал, что это искусство уже давно умерло, но теперь я вижу, что оно живет в Вас!»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>Основные черты органного стиля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баховскую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эпоху орган был «королем всех инструментов» – самым мощным, полнозвучным и красочным. Он звучал под просторными сводами церковных соборов с их пространственной акустикой. Органное искусство было обращено к широким массам слушателей, отсюда такие качества органного музыки, как ораторский пафос, монументальность,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концертность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. Подобный стиль требовал развернутых форм, виртуозности. Органные произведения подобны монументальной (фресковой) живописи, где всё подано крупным планом. Неудивительно, что самые величественные инструментальные произведения Бах создал именно для органа: Пассакалия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c-moll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Токката,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и фуга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Фантазия и фуга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g-moll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>Традиции немецкого органного искусства. Хоральные прелюдии.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Органное искусство Баха выросло на богатой почве, ведь в развитии органной музыки наиболее важную роль сыграли именно немецкие мастера. В Германии органное искусство достигло небывалого размаха, выдвинулась целая плеяда замечательных органистов. Многих из них Баху довелось слышать: в Гамбурге – Я.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Рейнкена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, в Любеке – Д.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Букстехуде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, который был особенно близок Баху. От своих предшественников он воспринял основные жанры немецкой органной музыки – фугу, токкату, хоральную прелюдию.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В органном творчестве Баха можно выделить </w:t>
      </w:r>
      <w:r w:rsidRPr="006044DB">
        <w:rPr>
          <w:rFonts w:ascii="Times New Roman" w:hAnsi="Times New Roman" w:cs="Times New Roman"/>
          <w:sz w:val="28"/>
          <w:szCs w:val="28"/>
          <w:u w:val="single"/>
        </w:rPr>
        <w:t>2 жанровые разновидности: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хоральные прелюдии, как преимущественно небольшие композиции;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«малые» полифонические циклы, как произведения крупной формы. Они состоят из какой-либо вступительной пьесы и фуги.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Бах написал более 150 хоральных прелюдий, большинство из которых заключено в 4-х сборниках. Особое место среди них занимает «Органная книжечка» – самый ранний (1714–1716), состоящий из 45 обработок. Позднее появился сборник «Клавирные упражнения», включающий 21 обработку, некоторые из которых рассчитаны на органное исполнение. Следующее собрание – из 6-ти пьес – известно под названием «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шюблеровских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хоралов» (по имени издателя и органиста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Шюблера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, ученика Баха). Последний сборник хоральных обработок – «18 хоралов» – композитор подготовил к печати незадолго до смерти.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При всем разнообразии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хоральных прелюдий, их объединяют: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небольшие масштабы;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господство мелодического начала, поскольку жанр хоральной обработки связан с вокальными напевами;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камерный стиль. В хоральных прелюдиях Бах подчеркнул не огромные ресурсы мощного органного звучания, а его красочность, тембровое богатство;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широкое использование полифонических приемов.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Круг образов хоральных прелюдий связан с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содержанием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лежащих в их основе хоралов. В целом это образцы философской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баховской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лирики, размышления о человеке, его радостях и печалях.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 xml:space="preserve">Прелюдия </w:t>
      </w:r>
      <w:proofErr w:type="spellStart"/>
      <w:r w:rsidRPr="006044DB">
        <w:rPr>
          <w:rFonts w:ascii="Times New Roman" w:hAnsi="Times New Roman" w:cs="Times New Roman"/>
          <w:b/>
          <w:sz w:val="28"/>
          <w:szCs w:val="28"/>
        </w:rPr>
        <w:t>Es-dur</w:t>
      </w:r>
      <w:proofErr w:type="spellEnd"/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>(«Проснитесь, голос нас сзывает»)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Ее музыка носит величаво–спокойный, просветленный характер, развивается плавно и неторопливо. Тема хорала довольно однообразна в ритмическом и мелодическом отношении. Она основана на движении по устойчивым ступеням лада с многократными повторениями одного звука. Однако Бах начинает свою прелюдию не с хоральной мелодии, а с собственной темы – более напевной, гибкой и подвижной, и вместе с тем родственной хоралу. 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Развиваясь, эта тема непрерывно обогащается интонационно и ритмически. В ней возникают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широко распевные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фразы, расширяется диапазон. Наряду с этим в ней обостряется неустойчивость,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повторяется мотив вздоха, который становится средством нагнетания экспрессии.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Тональный план прелюдии охватывает родственные бемольные тональности. Ладотональное развитие направлено от светлых мажорных красок к более темному минорному колориту в середине, а затем к возвращению исходного светлого звучания.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Разреженная, ясная фактура прелюдии основана на двух основных мелодических линиях, далеко отстающих друг от друга (это создает </w:t>
      </w:r>
      <w:r w:rsidRPr="006044DB">
        <w:rPr>
          <w:rFonts w:ascii="Times New Roman" w:hAnsi="Times New Roman" w:cs="Times New Roman"/>
          <w:sz w:val="28"/>
          <w:szCs w:val="28"/>
        </w:rPr>
        <w:lastRenderedPageBreak/>
        <w:t>ощущение пространственной широты). Средние голоса, где излагается тема хорала, включаются позднее и также обладают мелодической самостоятельностью.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 xml:space="preserve">Прелюдия </w:t>
      </w:r>
      <w:proofErr w:type="spellStart"/>
      <w:r w:rsidRPr="006044DB">
        <w:rPr>
          <w:rFonts w:ascii="Times New Roman" w:hAnsi="Times New Roman" w:cs="Times New Roman"/>
          <w:b/>
          <w:sz w:val="28"/>
          <w:szCs w:val="28"/>
        </w:rPr>
        <w:t>f-moll</w:t>
      </w:r>
      <w:proofErr w:type="spellEnd"/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44DB">
        <w:rPr>
          <w:rFonts w:ascii="Times New Roman" w:hAnsi="Times New Roman" w:cs="Times New Roman"/>
          <w:b/>
          <w:sz w:val="28"/>
          <w:szCs w:val="28"/>
        </w:rPr>
        <w:t>(«Я взываю к тебе, Господи»)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В этой прелюдии мелодия хорала помещена в верхний голос, она господствует, определяя весь облик произведения. Баху принадлежит гармонизация напева и создание фактуры аккомпанемента.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Тема хорала отличается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песенностью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, основана на плавных мягких интонациях. Ритмическое однообразие, подчеркнутое ровным движением басов, придает музыке строгость и собранность. Основное настроение – глубокая сосредоточенность, возвышенная печаль.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81500" cy="4124325"/>
            <wp:effectExtent l="19050" t="0" r="0" b="0"/>
            <wp:docPr id="8" name="Рисунок 5" descr="хоральная прелюдия f-mo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ральная прелюдия f-mo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В фактуре ясно выделяется три плана: верхний голос (собственно тема хорала, звучание которой в среднем регистре напоминает пение), линия баса и средний голос – интонационно очень выразительный и ритмически подвижный. Форма 2-х частная. Первый раздел ясно членится на предложения, завершается четкой каденцией. Второй развивается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более непрерывно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>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4DB">
        <w:rPr>
          <w:rFonts w:ascii="Times New Roman" w:hAnsi="Times New Roman" w:cs="Times New Roman"/>
          <w:b/>
          <w:sz w:val="28"/>
          <w:szCs w:val="28"/>
        </w:rPr>
        <w:t>Двухчастные</w:t>
      </w:r>
      <w:proofErr w:type="spellEnd"/>
      <w:r w:rsidRPr="006044DB">
        <w:rPr>
          <w:rFonts w:ascii="Times New Roman" w:hAnsi="Times New Roman" w:cs="Times New Roman"/>
          <w:b/>
          <w:sz w:val="28"/>
          <w:szCs w:val="28"/>
        </w:rPr>
        <w:t xml:space="preserve"> полифонические циклы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Двухчастные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композиции, состоящие из какой-нибудь вступительной пьесы (прелюдии, фантазии, токкаты) и фуги, встречались уже у композиторов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добаховского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поколения, но тогда они были скорее исключением, чем правилом, закономерностью. Преобладали либо самостоятельные, не связанные друг с другом фуги, токкаты, фантазии, либо одночастные композиции смешанного типа. В них свободно сочетались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lastRenderedPageBreak/>
        <w:t>прелюдийно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–импровизационные и фугированные эпизоды. Бах нарушил эту традицию, разграничив контрастные сферы в двух отдельных, но органично взаимосвязанных частях полифонического цикла. В первой части концентрировалось свободное, импровизационное начало, во второй – фуге – строго организованное. Музыкальное развитие в фуге всегда подчиняется законам логики и дисциплины, протекает в строго определенном «русле». Продуманная система композиционных приемов фуги сложилась уже до Баха, в творчестве его предшественников – немецких органистов.</w:t>
      </w:r>
    </w:p>
    <w:p w:rsid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Вступительные же части полифонического цикла такой «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» не имели. Они выработались в практике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прелюдирования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на органе, то есть отличались импровизационной природой – полной свободой в выражении эмоций.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Для них характерны:</w:t>
      </w:r>
      <w:proofErr w:type="gramEnd"/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«общие формы» движения – виртуозные пассажи, гармонические фигурации, то есть движение по звукам аккордов;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секвентное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развитие небольших мелодических ячеек;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свободная смена темпов, различных по характеру эпизодов;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>•</w:t>
      </w:r>
      <w:r w:rsidRPr="006044DB">
        <w:rPr>
          <w:rFonts w:ascii="Times New Roman" w:hAnsi="Times New Roman" w:cs="Times New Roman"/>
          <w:sz w:val="28"/>
          <w:szCs w:val="28"/>
        </w:rPr>
        <w:tab/>
        <w:t>яркие динамические контрасты.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Каждый полифонический цикл Баха обладает своим неповторимым обликом, индивидуальным художественным решением. Общим же, и обязательным принципом является гармоничное единство двух составляющих его частей. Это единство не ограничивается общей тональностью. Так, например, в самом популярном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баховском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органном цикле – Токкате и фуге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d-moll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– единство композиции вытекает из многосторонних внутренних связей токкаты и фуги.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Музыка токкаты производит впечатление могучей силы, мятежности. Величавая патетика захватывает с первых же звуков вступления – небольшого, но очень эффектного, задающего тон всему дальнейшему. Тема вступления начинается как бы сразу с кульминации («вершины–источника»), на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, в мощном органном унисоне. Она основана на декламационных, ораторских, призывных интонациях, которые благодаря сильной звучности и многозначительным паузам звучат очень внушительно.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Те же интонации лежат в основе темы фуги – спуск по гамме минорного лада от V ступени к вводному тону. Благодаря безостановочному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остинатному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бегу 16-х музыка фуги имеет характер активный, энергичный, моторный. В ее теме есть явное сходство и со вторым разделом токкаты [1]– наличие скрытого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>, многократное повторение звука «ля», одинаковый ритмический рисунок. По-существу, обе темы воспринимаются как два варианта одного тематического материала (тема фуги – как зеркальное отражение 2-го раздела токкаты).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В более крупном плане единство токкаты и фуги заложено в самой композиции цикла. Кульминацией всего произведения является заключительный раздел фуги – большая кода патетического характера. Здесь возвращаются образы токкаты, а полифонические приемы уступают место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гомофонно-гармоническим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. Вновь звучат массивные аккорды и виртуозные </w:t>
      </w:r>
      <w:r w:rsidRPr="006044DB">
        <w:rPr>
          <w:rFonts w:ascii="Times New Roman" w:hAnsi="Times New Roman" w:cs="Times New Roman"/>
          <w:sz w:val="28"/>
          <w:szCs w:val="28"/>
        </w:rPr>
        <w:lastRenderedPageBreak/>
        <w:t xml:space="preserve">пассажи. Таким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в цикле возникает ощущение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трехчастности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(токката – фуга – токкатная кода).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Кроме того, в фуге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d-moll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есть еще одна особенность, подчеркивающая ее родство с токкатой – обилие интермедий. Интермедии в основном состоят из «ломаных» аккордов, их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секвентного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развития. Благодаря этому полифонический стиль фуги несколько приближается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гомофонно-гармоническому, перекликаясь с импровизационной манерой токкаты.</w:t>
      </w:r>
    </w:p>
    <w:p w:rsidR="006044DB" w:rsidRPr="006044DB" w:rsidRDefault="006044DB" w:rsidP="006044D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4DB">
        <w:rPr>
          <w:rFonts w:ascii="Times New Roman" w:hAnsi="Times New Roman" w:cs="Times New Roman"/>
          <w:sz w:val="28"/>
          <w:szCs w:val="28"/>
        </w:rPr>
        <w:t xml:space="preserve">Объединение двух частей полифонического цикла может основываться не на родстве, </w:t>
      </w:r>
      <w:proofErr w:type="gramStart"/>
      <w:r w:rsidRPr="006044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44DB">
        <w:rPr>
          <w:rFonts w:ascii="Times New Roman" w:hAnsi="Times New Roman" w:cs="Times New Roman"/>
          <w:sz w:val="28"/>
          <w:szCs w:val="28"/>
        </w:rPr>
        <w:t xml:space="preserve"> наоборот, на ярком контрастном сопоставлении их музыкальных образов. Так выстроен, например, </w:t>
      </w:r>
      <w:proofErr w:type="spellStart"/>
      <w:r w:rsidRPr="006044DB">
        <w:rPr>
          <w:rFonts w:ascii="Times New Roman" w:hAnsi="Times New Roman" w:cs="Times New Roman"/>
          <w:sz w:val="28"/>
          <w:szCs w:val="28"/>
        </w:rPr>
        <w:t>g-moll-ный</w:t>
      </w:r>
      <w:proofErr w:type="spellEnd"/>
      <w:r w:rsidRPr="006044DB">
        <w:rPr>
          <w:rFonts w:ascii="Times New Roman" w:hAnsi="Times New Roman" w:cs="Times New Roman"/>
          <w:sz w:val="28"/>
          <w:szCs w:val="28"/>
        </w:rPr>
        <w:t xml:space="preserve"> органный цикл.</w:t>
      </w:r>
    </w:p>
    <w:sectPr w:rsidR="006044DB" w:rsidRPr="006044DB" w:rsidSect="008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84D"/>
    <w:multiLevelType w:val="multilevel"/>
    <w:tmpl w:val="21C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63C98"/>
    <w:multiLevelType w:val="multilevel"/>
    <w:tmpl w:val="BDD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D74D16"/>
    <w:multiLevelType w:val="multilevel"/>
    <w:tmpl w:val="BF90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91710"/>
    <w:multiLevelType w:val="multilevel"/>
    <w:tmpl w:val="DB3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44DB"/>
    <w:rsid w:val="006044DB"/>
    <w:rsid w:val="008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7"/>
  </w:style>
  <w:style w:type="paragraph" w:styleId="2">
    <w:name w:val="heading 2"/>
    <w:basedOn w:val="a"/>
    <w:link w:val="20"/>
    <w:uiPriority w:val="9"/>
    <w:qFormat/>
    <w:rsid w:val="0060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4DB"/>
  </w:style>
  <w:style w:type="character" w:styleId="a4">
    <w:name w:val="Emphasis"/>
    <w:basedOn w:val="a0"/>
    <w:uiPriority w:val="20"/>
    <w:qFormat/>
    <w:rsid w:val="006044DB"/>
    <w:rPr>
      <w:i/>
      <w:iCs/>
    </w:rPr>
  </w:style>
  <w:style w:type="character" w:styleId="a5">
    <w:name w:val="Strong"/>
    <w:basedOn w:val="a0"/>
    <w:uiPriority w:val="22"/>
    <w:qFormat/>
    <w:rsid w:val="006044DB"/>
    <w:rPr>
      <w:b/>
      <w:bCs/>
    </w:rPr>
  </w:style>
  <w:style w:type="character" w:styleId="a6">
    <w:name w:val="Hyperlink"/>
    <w:basedOn w:val="a0"/>
    <w:uiPriority w:val="99"/>
    <w:semiHidden/>
    <w:unhideWhenUsed/>
    <w:rsid w:val="006044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1496</Words>
  <Characters>8529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1</cp:revision>
  <dcterms:created xsi:type="dcterms:W3CDTF">2016-12-30T03:22:00Z</dcterms:created>
  <dcterms:modified xsi:type="dcterms:W3CDTF">2016-12-30T03:31:00Z</dcterms:modified>
</cp:coreProperties>
</file>